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BF" w:rsidRPr="00BF5F30" w:rsidRDefault="001E5DBF" w:rsidP="001E5DBF">
      <w:pPr>
        <w:spacing w:line="360" w:lineRule="auto"/>
        <w:jc w:val="center"/>
        <w:rPr>
          <w:rFonts w:ascii="Arial" w:hAnsi="Arial" w:cs="Arial"/>
          <w:sz w:val="22"/>
          <w:szCs w:val="22"/>
          <w:lang w:val="mn-MN"/>
        </w:rPr>
      </w:pPr>
      <w:r w:rsidRPr="00BF5F30">
        <w:rPr>
          <w:rFonts w:ascii="Arial" w:hAnsi="Arial" w:cs="Arial"/>
          <w:sz w:val="22"/>
          <w:szCs w:val="22"/>
          <w:lang w:val="mn-MN"/>
        </w:rPr>
        <w:t>УЛААНБААТАР ЦАХИЛГААН ТҮГЭЭХ СҮЛЖЭЭ ХУВЬЦААТ КОМПАНИЙН 2012 ОНЫ АВЛИГЫН ЭСРЭГ ҮЙЛ АЖИЛЛАГААНЫ  ТӨЛӨВЛӨГӨӨНИЙ БИЕЛЭЛТ</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551"/>
        <w:gridCol w:w="1418"/>
        <w:gridCol w:w="3667"/>
        <w:gridCol w:w="2160"/>
      </w:tblGrid>
      <w:tr w:rsidR="001E5DBF" w:rsidRPr="00BF5F30" w:rsidTr="00A12609">
        <w:tc>
          <w:tcPr>
            <w:tcW w:w="644" w:type="dxa"/>
            <w:vAlign w:val="center"/>
          </w:tcPr>
          <w:p w:rsidR="001E5DBF" w:rsidRPr="00BF5F30" w:rsidRDefault="001E5DBF" w:rsidP="00A12609">
            <w:pPr>
              <w:contextualSpacing/>
              <w:jc w:val="center"/>
              <w:rPr>
                <w:rFonts w:ascii="Arial" w:hAnsi="Arial" w:cs="Arial"/>
                <w:lang w:val="mn-MN"/>
              </w:rPr>
            </w:pPr>
            <w:r w:rsidRPr="00BF5F30">
              <w:rPr>
                <w:rFonts w:ascii="Arial" w:hAnsi="Arial" w:cs="Arial"/>
                <w:sz w:val="22"/>
                <w:szCs w:val="22"/>
                <w:lang w:val="mn-MN"/>
              </w:rPr>
              <w:t>д/д</w:t>
            </w:r>
          </w:p>
        </w:tc>
        <w:tc>
          <w:tcPr>
            <w:tcW w:w="2551" w:type="dxa"/>
            <w:vAlign w:val="center"/>
          </w:tcPr>
          <w:p w:rsidR="001E5DBF" w:rsidRPr="00BF5F30" w:rsidRDefault="001E5DBF" w:rsidP="00A12609">
            <w:pPr>
              <w:contextualSpacing/>
              <w:jc w:val="center"/>
              <w:rPr>
                <w:rFonts w:ascii="Arial" w:hAnsi="Arial" w:cs="Arial"/>
                <w:b/>
                <w:lang w:val="mn-MN"/>
              </w:rPr>
            </w:pPr>
            <w:r w:rsidRPr="00BF5F30">
              <w:rPr>
                <w:rFonts w:ascii="Arial" w:hAnsi="Arial" w:cs="Arial"/>
                <w:b/>
                <w:sz w:val="22"/>
                <w:szCs w:val="22"/>
                <w:lang w:val="mn-MN"/>
              </w:rPr>
              <w:t>Хэрэгжүүлэх арга хэмжээ</w:t>
            </w:r>
          </w:p>
        </w:tc>
        <w:tc>
          <w:tcPr>
            <w:tcW w:w="1418" w:type="dxa"/>
            <w:vAlign w:val="center"/>
          </w:tcPr>
          <w:p w:rsidR="001E5DBF" w:rsidRPr="00BF5F30" w:rsidRDefault="001E5DBF" w:rsidP="00A12609">
            <w:pPr>
              <w:contextualSpacing/>
              <w:jc w:val="center"/>
              <w:rPr>
                <w:rFonts w:ascii="Arial" w:hAnsi="Arial" w:cs="Arial"/>
                <w:b/>
                <w:lang w:val="mn-MN"/>
              </w:rPr>
            </w:pPr>
            <w:r w:rsidRPr="00BF5F30">
              <w:rPr>
                <w:rFonts w:ascii="Arial" w:hAnsi="Arial" w:cs="Arial"/>
                <w:b/>
                <w:sz w:val="22"/>
                <w:szCs w:val="22"/>
                <w:lang w:val="mn-MN"/>
              </w:rPr>
              <w:t>Хугацаа</w:t>
            </w:r>
          </w:p>
        </w:tc>
        <w:tc>
          <w:tcPr>
            <w:tcW w:w="3667" w:type="dxa"/>
            <w:vAlign w:val="center"/>
          </w:tcPr>
          <w:p w:rsidR="001E5DBF" w:rsidRPr="00BF5F30" w:rsidRDefault="001E5DBF" w:rsidP="00A12609">
            <w:pPr>
              <w:contextualSpacing/>
              <w:jc w:val="center"/>
              <w:rPr>
                <w:rFonts w:ascii="Arial" w:hAnsi="Arial" w:cs="Arial"/>
                <w:b/>
                <w:lang w:val="mn-MN"/>
              </w:rPr>
            </w:pPr>
            <w:r w:rsidRPr="00BF5F30">
              <w:rPr>
                <w:rFonts w:ascii="Arial" w:hAnsi="Arial" w:cs="Arial"/>
                <w:b/>
                <w:sz w:val="22"/>
                <w:szCs w:val="22"/>
                <w:lang w:val="mn-MN"/>
              </w:rPr>
              <w:t>Биелэлт</w:t>
            </w:r>
          </w:p>
        </w:tc>
        <w:tc>
          <w:tcPr>
            <w:tcW w:w="2160" w:type="dxa"/>
            <w:vAlign w:val="center"/>
          </w:tcPr>
          <w:p w:rsidR="001E5DBF" w:rsidRPr="00BF5F30" w:rsidRDefault="001E5DBF" w:rsidP="00A12609">
            <w:pPr>
              <w:contextualSpacing/>
              <w:jc w:val="center"/>
              <w:rPr>
                <w:rFonts w:ascii="Arial" w:hAnsi="Arial" w:cs="Arial"/>
                <w:b/>
                <w:lang w:val="mn-MN"/>
              </w:rPr>
            </w:pPr>
            <w:r w:rsidRPr="00BF5F30">
              <w:rPr>
                <w:rFonts w:ascii="Arial" w:hAnsi="Arial" w:cs="Arial"/>
                <w:b/>
                <w:sz w:val="22"/>
                <w:szCs w:val="22"/>
                <w:lang w:val="mn-MN"/>
              </w:rPr>
              <w:t>Шалгуур үзүүлэлт</w:t>
            </w:r>
          </w:p>
        </w:tc>
      </w:tr>
    </w:tbl>
    <w:p w:rsidR="001E5DBF" w:rsidRPr="00BF5F30" w:rsidRDefault="001E5DBF" w:rsidP="001E5DBF">
      <w:pPr>
        <w:spacing w:line="360" w:lineRule="auto"/>
        <w:jc w:val="both"/>
        <w:rPr>
          <w:rFonts w:ascii="Arial" w:hAnsi="Arial" w:cs="Arial"/>
          <w:i/>
          <w:sz w:val="22"/>
          <w:szCs w:val="22"/>
          <w:lang w:val="mn-MN"/>
        </w:rPr>
      </w:pPr>
    </w:p>
    <w:p w:rsidR="001E5DBF" w:rsidRPr="00BF5F30" w:rsidRDefault="001E5DBF" w:rsidP="001E5DBF">
      <w:pPr>
        <w:spacing w:line="360" w:lineRule="auto"/>
        <w:jc w:val="both"/>
        <w:rPr>
          <w:rFonts w:ascii="Arial" w:hAnsi="Arial" w:cs="Arial"/>
          <w:b/>
          <w:i/>
          <w:sz w:val="22"/>
          <w:szCs w:val="22"/>
          <w:lang w:val="mn-MN"/>
        </w:rPr>
      </w:pPr>
      <w:r w:rsidRPr="00BF5F30">
        <w:rPr>
          <w:rFonts w:ascii="Arial" w:hAnsi="Arial" w:cs="Arial"/>
          <w:b/>
          <w:i/>
          <w:sz w:val="22"/>
          <w:szCs w:val="22"/>
          <w:lang w:val="mn-MN"/>
        </w:rPr>
        <w:t>НЭГ. Авлигаас урьдчилан сэргийлэх, шударга ёсыг тогтоох</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800"/>
        <w:gridCol w:w="1170"/>
        <w:gridCol w:w="3960"/>
        <w:gridCol w:w="2160"/>
      </w:tblGrid>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1</w:t>
            </w:r>
          </w:p>
        </w:tc>
        <w:tc>
          <w:tcPr>
            <w:tcW w:w="2800" w:type="dxa"/>
            <w:vAlign w:val="center"/>
          </w:tcPr>
          <w:p w:rsidR="001E5DBF" w:rsidRPr="003C7EAF" w:rsidRDefault="001E5DBF" w:rsidP="00A12609">
            <w:pPr>
              <w:jc w:val="both"/>
              <w:rPr>
                <w:rFonts w:ascii="Arial" w:hAnsi="Arial" w:cs="Arial"/>
              </w:rPr>
            </w:pPr>
            <w:r w:rsidRPr="00BF5F30">
              <w:rPr>
                <w:rFonts w:ascii="Arial" w:hAnsi="Arial" w:cs="Arial"/>
                <w:sz w:val="22"/>
                <w:szCs w:val="22"/>
                <w:lang w:val="mn-MN"/>
              </w:rPr>
              <w:t>Гүйцэтгэх захирлын тушаал, Төлөөлөн удирдах зөвлөлийн хурлаас гарсан шийд</w:t>
            </w:r>
            <w:r>
              <w:rPr>
                <w:rFonts w:ascii="Arial" w:hAnsi="Arial" w:cs="Arial"/>
                <w:sz w:val="22"/>
                <w:szCs w:val="22"/>
                <w:lang w:val="mn-MN"/>
              </w:rPr>
              <w:t xml:space="preserve"> вэрийн талаар мэ</w:t>
            </w:r>
            <w:r w:rsidRPr="00BF5F30">
              <w:rPr>
                <w:rFonts w:ascii="Arial" w:hAnsi="Arial" w:cs="Arial"/>
                <w:sz w:val="22"/>
                <w:szCs w:val="22"/>
                <w:lang w:val="mn-MN"/>
              </w:rPr>
              <w:t>дээллийн самбараар байнга сурталчлах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Жилийн турш</w:t>
            </w:r>
          </w:p>
        </w:tc>
        <w:tc>
          <w:tcPr>
            <w:tcW w:w="39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Мэдээллийн самбарт, хяналт шалгалт хийсэн нэгжүүдэд хариуцлага тооцсон тушаалыг тухай бүр танилцуулж ажилласан. </w:t>
            </w:r>
          </w:p>
          <w:p w:rsidR="001E5DBF" w:rsidRPr="003C7EAF" w:rsidRDefault="001E5DBF" w:rsidP="00A12609">
            <w:pPr>
              <w:jc w:val="both"/>
              <w:rPr>
                <w:rFonts w:ascii="Arial" w:hAnsi="Arial" w:cs="Arial"/>
              </w:rPr>
            </w:pPr>
            <w:r>
              <w:rPr>
                <w:rFonts w:ascii="Arial" w:hAnsi="Arial" w:cs="Arial"/>
                <w:sz w:val="22"/>
                <w:szCs w:val="22"/>
                <w:lang w:val="mn-MN"/>
              </w:rPr>
              <w:t>Мөрдлөг болгож байна.</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Мэдээллийн самбараар сурталчилсан мэдээллийн тоо, ажилчдад мэдээлэл хүрсэн үр дүнгээр</w:t>
            </w:r>
          </w:p>
        </w:tc>
      </w:tr>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2</w:t>
            </w:r>
          </w:p>
          <w:p w:rsidR="001E5DBF" w:rsidRPr="00BF5F30" w:rsidRDefault="001E5DBF" w:rsidP="00A12609">
            <w:pPr>
              <w:jc w:val="center"/>
              <w:rPr>
                <w:rFonts w:ascii="Arial" w:hAnsi="Arial" w:cs="Arial"/>
                <w:lang w:val="mn-MN"/>
              </w:rPr>
            </w:pPr>
          </w:p>
        </w:tc>
        <w:tc>
          <w:tcPr>
            <w:tcW w:w="280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Дэд захирал, хэлтэс, алба,төвийн дарга нартай байгуулах “Хөлсөөр ажиллах гэ-рээнд авлигатай хол-боотой зөрчил гар-гахгүй байх заалт оруулж мөрдүүлэх</w:t>
            </w:r>
          </w:p>
          <w:p w:rsidR="001E5DBF" w:rsidRPr="00BF5F30" w:rsidRDefault="001E5DBF" w:rsidP="00A12609">
            <w:pPr>
              <w:jc w:val="both"/>
              <w:rPr>
                <w:rFonts w:ascii="Arial" w:hAnsi="Arial" w:cs="Arial"/>
                <w:lang w:val="mn-MN"/>
              </w:rPr>
            </w:pP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3 дугаар сард</w:t>
            </w:r>
          </w:p>
        </w:tc>
        <w:tc>
          <w:tcPr>
            <w:tcW w:w="39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Тэргүүн дэд захирал, дэд захирал, хэрэглэгчдэд үйлчлэх төв, түгээх төвийн менежер, хэлтэс, алба, нэгжийн дарга нартай гүйцэтгэх захирал “Хөдөлмөрийн гэрээ”, Үр дүнгийн гэрээ байгуулсан. Гэрээнд  хээл хахуул  авсан нь тогтоогдвол гэрээг шууд цуцлах ноцтой зөрчилд тооцохоор заалт нэмж оруулсан.</w:t>
            </w:r>
          </w:p>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2012 онд авлигад өртсөн албан тушаалтан байхгүй. Авлигатай тэмцэх газраас хөрөнгө орлогын мэдүүлгүүдийг шалгасан. </w:t>
            </w:r>
          </w:p>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4 албан тушаалтны мэдүүлэг зөрчилтэй гарсан тул тушаалаар арга хэмжээ авч АТГ-т хариу мэдэгдсэн.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Удирдах ажилтнууд авлигад өртөөгүй байх</w:t>
            </w:r>
          </w:p>
        </w:tc>
      </w:tr>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3</w:t>
            </w:r>
          </w:p>
        </w:tc>
        <w:tc>
          <w:tcPr>
            <w:tcW w:w="280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Компанийн ажилтны ёс зүйн дүрмийг шинэчлэн боловсруулах, ажилтанд авлигыг үл тэвчих үзлийг төлөвшүүлэхэд анхаарах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5 дугаар сард</w:t>
            </w:r>
          </w:p>
        </w:tc>
        <w:tc>
          <w:tcPr>
            <w:tcW w:w="39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Гүйцэтгэх захирлын 2011 оны 220 тоот тушаалаар “Ёс зүйн дүрэм</w:t>
            </w:r>
            <w:r>
              <w:rPr>
                <w:rFonts w:ascii="Arial" w:hAnsi="Arial" w:cs="Arial"/>
                <w:sz w:val="22"/>
                <w:szCs w:val="22"/>
                <w:lang w:val="mn-MN"/>
              </w:rPr>
              <w:t>”</w:t>
            </w:r>
            <w:r w:rsidRPr="00BF5F30">
              <w:rPr>
                <w:rFonts w:ascii="Arial" w:hAnsi="Arial" w:cs="Arial"/>
                <w:sz w:val="22"/>
                <w:szCs w:val="22"/>
                <w:lang w:val="mn-MN"/>
              </w:rPr>
              <w:t xml:space="preserve"> </w:t>
            </w:r>
            <w:r>
              <w:rPr>
                <w:rFonts w:ascii="Arial" w:hAnsi="Arial" w:cs="Arial"/>
                <w:sz w:val="22"/>
                <w:szCs w:val="22"/>
                <w:lang w:val="mn-MN"/>
              </w:rPr>
              <w:t>-ийг</w:t>
            </w:r>
            <w:r w:rsidRPr="00BF5F30">
              <w:rPr>
                <w:rFonts w:ascii="Arial" w:hAnsi="Arial" w:cs="Arial"/>
                <w:sz w:val="22"/>
                <w:szCs w:val="22"/>
                <w:lang w:val="mn-MN"/>
              </w:rPr>
              <w:t xml:space="preserve"> батлан мөрдөж байна. </w:t>
            </w:r>
          </w:p>
          <w:p w:rsidR="001E5DBF" w:rsidRPr="00BF5F30" w:rsidRDefault="001E5DBF" w:rsidP="00A12609">
            <w:pPr>
              <w:jc w:val="both"/>
              <w:rPr>
                <w:rFonts w:ascii="Arial" w:hAnsi="Arial" w:cs="Arial"/>
                <w:lang w:val="mn-MN"/>
              </w:rPr>
            </w:pP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-Компанийн ёс зүйн дүрэм мөрдөгдсөн байх</w:t>
            </w:r>
          </w:p>
          <w:p w:rsidR="001E5DBF" w:rsidRPr="00BF5F30" w:rsidRDefault="001E5DBF" w:rsidP="00A12609">
            <w:pPr>
              <w:jc w:val="both"/>
              <w:rPr>
                <w:rFonts w:ascii="Arial" w:hAnsi="Arial" w:cs="Arial"/>
                <w:lang w:val="mn-MN"/>
              </w:rPr>
            </w:pPr>
          </w:p>
          <w:p w:rsidR="001E5DBF" w:rsidRPr="00BF5F30" w:rsidRDefault="001E5DBF" w:rsidP="00A12609">
            <w:pPr>
              <w:jc w:val="both"/>
              <w:rPr>
                <w:rFonts w:ascii="Arial" w:hAnsi="Arial" w:cs="Arial"/>
                <w:lang w:val="mn-MN"/>
              </w:rPr>
            </w:pPr>
            <w:r w:rsidRPr="00BF5F30">
              <w:rPr>
                <w:rFonts w:ascii="Arial" w:hAnsi="Arial" w:cs="Arial"/>
                <w:sz w:val="22"/>
                <w:szCs w:val="22"/>
                <w:lang w:val="mn-MN"/>
              </w:rPr>
              <w:t>- Ёс зүйн хороо үүргээ биелүүлж ажилласан байх</w:t>
            </w:r>
          </w:p>
          <w:p w:rsidR="001E5DBF" w:rsidRPr="00BF5F30" w:rsidRDefault="001E5DBF" w:rsidP="00A12609">
            <w:pPr>
              <w:jc w:val="both"/>
              <w:rPr>
                <w:rFonts w:ascii="Arial" w:hAnsi="Arial" w:cs="Arial"/>
                <w:lang w:val="mn-MN"/>
              </w:rPr>
            </w:pPr>
          </w:p>
        </w:tc>
      </w:tr>
    </w:tbl>
    <w:p w:rsidR="001E5DBF" w:rsidRPr="00BF5F30" w:rsidRDefault="001E5DBF" w:rsidP="001E5DBF">
      <w:pPr>
        <w:jc w:val="both"/>
        <w:rPr>
          <w:rFonts w:ascii="Arial" w:hAnsi="Arial" w:cs="Arial"/>
          <w:b/>
          <w:sz w:val="22"/>
          <w:szCs w:val="22"/>
          <w:lang w:val="mn-MN"/>
        </w:rPr>
      </w:pPr>
    </w:p>
    <w:p w:rsidR="001E5DBF" w:rsidRPr="00BF5F30" w:rsidRDefault="001E5DBF" w:rsidP="001E5DBF">
      <w:pPr>
        <w:jc w:val="both"/>
        <w:rPr>
          <w:rFonts w:ascii="Arial" w:hAnsi="Arial" w:cs="Arial"/>
          <w:b/>
          <w:sz w:val="22"/>
          <w:szCs w:val="22"/>
          <w:lang w:val="mn-MN"/>
        </w:rPr>
      </w:pPr>
    </w:p>
    <w:p w:rsidR="001E5DBF" w:rsidRPr="00BF5F30" w:rsidRDefault="001E5DBF" w:rsidP="001E5DBF">
      <w:pPr>
        <w:jc w:val="both"/>
        <w:rPr>
          <w:rFonts w:ascii="Arial" w:hAnsi="Arial" w:cs="Arial"/>
          <w:b/>
          <w:i/>
          <w:sz w:val="22"/>
          <w:szCs w:val="22"/>
        </w:rPr>
      </w:pPr>
      <w:r w:rsidRPr="00BF5F30">
        <w:rPr>
          <w:rFonts w:ascii="Arial" w:hAnsi="Arial" w:cs="Arial"/>
          <w:b/>
          <w:i/>
          <w:sz w:val="22"/>
          <w:szCs w:val="22"/>
          <w:lang w:val="mn-MN"/>
        </w:rPr>
        <w:t>ХОЁР. Албан хаагчийн шударга байдлыг хангах</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890"/>
        <w:gridCol w:w="1170"/>
        <w:gridCol w:w="3960"/>
        <w:gridCol w:w="2160"/>
      </w:tblGrid>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4</w:t>
            </w:r>
          </w:p>
        </w:tc>
        <w:tc>
          <w:tcPr>
            <w:tcW w:w="289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Компанийн ажилтнуудын тангарагтай болох, өргөсөн тангаргаа биелүүлэхэд нь хяналт тавьж ажиллах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3 дугаар сард</w:t>
            </w:r>
          </w:p>
        </w:tc>
        <w:tc>
          <w:tcPr>
            <w:tcW w:w="3960" w:type="dxa"/>
            <w:vAlign w:val="center"/>
          </w:tcPr>
          <w:p w:rsidR="001E5DBF" w:rsidRPr="00BF5F30" w:rsidRDefault="001E5DBF" w:rsidP="00A12609">
            <w:pPr>
              <w:jc w:val="both"/>
              <w:rPr>
                <w:rFonts w:ascii="Arial" w:hAnsi="Arial" w:cs="Arial"/>
                <w:lang w:val="mn-MN"/>
              </w:rPr>
            </w:pPr>
            <w:r w:rsidRPr="009E1854">
              <w:rPr>
                <w:rFonts w:ascii="Arial" w:hAnsi="Arial" w:cs="Arial"/>
                <w:sz w:val="22"/>
                <w:szCs w:val="22"/>
                <w:lang w:val="mn-MN"/>
              </w:rPr>
              <w:t>“Би өөрөө гэмтэхээргүй ажиллана, би бусдыг гэмтээхээргүй ажиллана, бид аюулгүй орчныг бүрдүүлж бүтээлчээр хөдөлмөрлөхөө тангараглая, тангараглая, тангараглая”</w:t>
            </w:r>
            <w:r w:rsidRPr="00BF5F30">
              <w:rPr>
                <w:rFonts w:ascii="Arial" w:hAnsi="Arial" w:cs="Arial"/>
                <w:sz w:val="22"/>
                <w:szCs w:val="22"/>
                <w:lang w:val="mn-MN"/>
              </w:rPr>
              <w:t xml:space="preserve"> гэсэн тангаргийг гүйцэтгэх захирлын 2011 оны 101 </w:t>
            </w:r>
            <w:r w:rsidRPr="00BF5F30">
              <w:rPr>
                <w:rFonts w:ascii="Arial" w:hAnsi="Arial" w:cs="Arial"/>
                <w:sz w:val="22"/>
                <w:szCs w:val="22"/>
                <w:lang w:val="mn-MN"/>
              </w:rPr>
              <w:lastRenderedPageBreak/>
              <w:t xml:space="preserve">дүгээр тушаалаар баталж компанийн дотоод журамд тусгасан. Шинээр ажилд орсон техникийн ажилтнуудад ач холбогдлыг ойлгуулах, зааварчилгаа өгөхөд уншуулж байгаа. Бүх нэгжүүдийн ажлын байранд нүдэнд ил харагдах газарт байрлуулсан.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lastRenderedPageBreak/>
              <w:t>Тангаргийг компанийн дотоод журамд тусгасан байх</w:t>
            </w:r>
          </w:p>
          <w:p w:rsidR="001E5DBF" w:rsidRPr="00BF5F30" w:rsidRDefault="001E5DBF" w:rsidP="00A12609">
            <w:pPr>
              <w:jc w:val="both"/>
              <w:rPr>
                <w:rFonts w:ascii="Arial" w:hAnsi="Arial" w:cs="Arial"/>
                <w:lang w:val="mn-MN"/>
              </w:rPr>
            </w:pPr>
            <w:r w:rsidRPr="00BF5F30">
              <w:rPr>
                <w:rFonts w:ascii="Arial" w:hAnsi="Arial" w:cs="Arial"/>
                <w:sz w:val="22"/>
                <w:szCs w:val="22"/>
                <w:lang w:val="mn-MN"/>
              </w:rPr>
              <w:t>Утга уч</w:t>
            </w:r>
            <w:r>
              <w:rPr>
                <w:rFonts w:ascii="Arial" w:hAnsi="Arial" w:cs="Arial"/>
                <w:sz w:val="22"/>
                <w:szCs w:val="22"/>
                <w:lang w:val="mn-MN"/>
              </w:rPr>
              <w:t xml:space="preserve">рыг нь олж мэдсэн ажилтан </w:t>
            </w:r>
            <w:r>
              <w:rPr>
                <w:rFonts w:ascii="Arial" w:hAnsi="Arial" w:cs="Arial"/>
                <w:sz w:val="22"/>
                <w:szCs w:val="22"/>
                <w:lang w:val="mn-MN"/>
              </w:rPr>
              <w:lastRenderedPageBreak/>
              <w:t>үнэнч х</w:t>
            </w:r>
            <w:r w:rsidRPr="00BF5F30">
              <w:rPr>
                <w:rFonts w:ascii="Arial" w:hAnsi="Arial" w:cs="Arial"/>
                <w:sz w:val="22"/>
                <w:szCs w:val="22"/>
                <w:lang w:val="mn-MN"/>
              </w:rPr>
              <w:t>өдөлмөрлөх</w:t>
            </w:r>
          </w:p>
        </w:tc>
      </w:tr>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lastRenderedPageBreak/>
              <w:t>5</w:t>
            </w:r>
          </w:p>
        </w:tc>
        <w:tc>
          <w:tcPr>
            <w:tcW w:w="289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Авлигатай холбоотой гарсан зөрчил, хариуцлага тооцсон талаар тухай бүр мэдээлж сэрэмжлүүлэх, холбогдох нэгжид  албан даалгавар, шаардлага өгч биелэлтийг тооцох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Жилийн турш</w:t>
            </w:r>
          </w:p>
        </w:tc>
        <w:tc>
          <w:tcPr>
            <w:tcW w:w="39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Авлигатай холбоотой зөрчил гараагүй, энэ талаар мэдээлэл ирээгүй. Сахилгын зөрчлийн арга хэмжээний талаар тухай бүр нийтэд мэдээлж хэвшсэн.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-Хурал, уулзалт хийж мэдээлсэн байх</w:t>
            </w:r>
          </w:p>
          <w:p w:rsidR="001E5DBF" w:rsidRPr="00BF5F30" w:rsidRDefault="001E5DBF" w:rsidP="00A12609">
            <w:pPr>
              <w:jc w:val="both"/>
              <w:rPr>
                <w:rFonts w:ascii="Arial" w:hAnsi="Arial" w:cs="Arial"/>
                <w:lang w:val="mn-MN"/>
              </w:rPr>
            </w:pPr>
            <w:r w:rsidRPr="00BF5F30">
              <w:rPr>
                <w:rFonts w:ascii="Arial" w:hAnsi="Arial" w:cs="Arial"/>
                <w:sz w:val="22"/>
                <w:szCs w:val="22"/>
                <w:lang w:val="mn-MN"/>
              </w:rPr>
              <w:t>- Биелэлт гарч дүгнэгдсэн байх</w:t>
            </w:r>
          </w:p>
        </w:tc>
      </w:tr>
    </w:tbl>
    <w:p w:rsidR="001E5DBF" w:rsidRPr="00BF5F30" w:rsidRDefault="001E5DBF" w:rsidP="001E5DBF">
      <w:pPr>
        <w:jc w:val="both"/>
        <w:rPr>
          <w:rFonts w:ascii="Arial" w:hAnsi="Arial" w:cs="Arial"/>
          <w:b/>
          <w:sz w:val="22"/>
          <w:szCs w:val="22"/>
          <w:lang w:val="mn-MN"/>
        </w:rPr>
      </w:pPr>
    </w:p>
    <w:p w:rsidR="001E5DBF" w:rsidRPr="00BF5F30" w:rsidRDefault="001E5DBF" w:rsidP="001E5DBF">
      <w:pPr>
        <w:jc w:val="both"/>
        <w:rPr>
          <w:rFonts w:ascii="Arial" w:hAnsi="Arial" w:cs="Arial"/>
          <w:b/>
          <w:i/>
          <w:sz w:val="22"/>
          <w:szCs w:val="22"/>
          <w:lang w:val="mn-MN"/>
        </w:rPr>
      </w:pPr>
      <w:r w:rsidRPr="00BF5F30">
        <w:rPr>
          <w:rFonts w:ascii="Arial" w:hAnsi="Arial" w:cs="Arial"/>
          <w:b/>
          <w:i/>
          <w:sz w:val="22"/>
          <w:szCs w:val="22"/>
          <w:lang w:val="mn-MN"/>
        </w:rPr>
        <w:t>ГУРАВ. Тогтолцооны шударга байдлыг хангах</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890"/>
        <w:gridCol w:w="1170"/>
        <w:gridCol w:w="3960"/>
        <w:gridCol w:w="2160"/>
      </w:tblGrid>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6</w:t>
            </w:r>
          </w:p>
        </w:tc>
        <w:tc>
          <w:tcPr>
            <w:tcW w:w="289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Компанийн хэмжээнд мөрдөгдөж буй дэг жаяг, журам, заавар, дүрмийн хэрэгжилтэд байнгын хяналт тавих, үзлэг шалгалт хийх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Жилийн турш</w:t>
            </w:r>
          </w:p>
        </w:tc>
        <w:tc>
          <w:tcPr>
            <w:tcW w:w="3960" w:type="dxa"/>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Компанийн борлуулалтын бодлого зохицуулалтын хэлтсээс ХҮТ-д хүлээн авах танхимын ажилтнууд утасны дуудлаганд хэрхэн хариу өгч байгаа байдалд шалгалт хийж 1 ажилтанд хариуцлага тооцсон. Хяналт аюулгүй ажиллагааны хэлтсээс батлагдсан төлөвлөгөөний дагуу шалгалт хийж зөрчлийг арилгах, сэрэмжлүүлэх албан даалгавар гаргаж нэгжүүдэд хүргүүлэх, биелэлтэнд хяналт тавих, хариуцлага тооцож арга хэмжээ авах ажлуудыг хийж гүйцэтгэсэн.  Захиргаа, хүний нөөцийн хэлтсээс 2 удаа ажлын цаг ашиглалт, гэрээ байгуулалтад шалгалт хийсэн.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-Шалгалтаар илэрсэн зөрчил арилсан, хариуцлага тооцсон байх</w:t>
            </w:r>
          </w:p>
        </w:tc>
      </w:tr>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7</w:t>
            </w:r>
          </w:p>
        </w:tc>
        <w:tc>
          <w:tcPr>
            <w:tcW w:w="289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Ажилтнуудыг аттестатчилах, сэлгэн ажиллуулах бодлого барих </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3 дугаар сард</w:t>
            </w:r>
          </w:p>
        </w:tc>
        <w:tc>
          <w:tcPr>
            <w:tcW w:w="3960" w:type="dxa"/>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Эрчим хүчний үйлдвэрүүдийн инженер техникийн ажилтан, ажилчдын дунд зохиох ажлын үндсэн дүрмийг баримтлан оны эхэнд ААД, ТАД болон ажлын байрны тодорхойлолтын дагуу шалгалт өгөх ажилтнуудын нэрсийг баталж 2012 онд  379 ажилтнаас амаар, 1110 ажилтнаас тестээр шалгалт авсан.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Аттестатчиллын дүн гарсан байх</w:t>
            </w:r>
          </w:p>
        </w:tc>
      </w:tr>
      <w:tr w:rsidR="001E5DBF" w:rsidRPr="00BF5F30" w:rsidTr="00A12609">
        <w:tc>
          <w:tcPr>
            <w:tcW w:w="35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8</w:t>
            </w:r>
          </w:p>
        </w:tc>
        <w:tc>
          <w:tcPr>
            <w:tcW w:w="289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Хэрэглэгчдэд үзүүлж буй үйлчилгээг ил тод, хүртээмжтэй болгох, хэрэглэгчдэд ойртуулах, </w:t>
            </w:r>
            <w:r w:rsidRPr="00BF5F30">
              <w:rPr>
                <w:rFonts w:ascii="Arial" w:hAnsi="Arial" w:cs="Arial"/>
                <w:sz w:val="22"/>
                <w:szCs w:val="22"/>
                <w:lang w:val="mn-MN"/>
              </w:rPr>
              <w:lastRenderedPageBreak/>
              <w:t>энэ чиглэлээр хийх ажлын төсөв гаргаж хэрэгжүүлэх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lastRenderedPageBreak/>
              <w:t>Жилийн турш</w:t>
            </w:r>
          </w:p>
        </w:tc>
        <w:tc>
          <w:tcPr>
            <w:tcW w:w="3960" w:type="dxa"/>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Харьяа хэрэглэгчдэд үйлчлэх төвүүдэд мэдээллийн самбар ажиллуулж хэрэглэгчдэд зориул-сан гарын авлага, брошюр хэвлүүлэн байнга байрлуулж хэвшсэн. Орон </w:t>
            </w:r>
            <w:r w:rsidRPr="00BF5F30">
              <w:rPr>
                <w:rFonts w:ascii="Arial" w:hAnsi="Arial" w:cs="Arial"/>
                <w:sz w:val="22"/>
                <w:szCs w:val="22"/>
                <w:lang w:val="mn-MN"/>
              </w:rPr>
              <w:lastRenderedPageBreak/>
              <w:t xml:space="preserve">сууцны байрны жижүүрийн дэргэд мэдээллийн самбар гаргаж хэрэглэгчдэд мэдээлэл хүргэж байна. Компанийн төв байранд дуудлагын төв шинээр байгуулахаар тохижилт хийж байна.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lastRenderedPageBreak/>
              <w:t xml:space="preserve">-Нийтэд ил тод харагдахуйц газарт компанийн үйлчилгээний </w:t>
            </w:r>
            <w:r w:rsidRPr="00BF5F30">
              <w:rPr>
                <w:rFonts w:ascii="Arial" w:hAnsi="Arial" w:cs="Arial"/>
                <w:sz w:val="22"/>
                <w:szCs w:val="22"/>
                <w:lang w:val="mn-MN"/>
              </w:rPr>
              <w:lastRenderedPageBreak/>
              <w:t xml:space="preserve">талаар мэдээлэл гарсан байх </w:t>
            </w:r>
          </w:p>
        </w:tc>
      </w:tr>
    </w:tbl>
    <w:p w:rsidR="001E5DBF" w:rsidRPr="00BF5F30" w:rsidRDefault="001E5DBF" w:rsidP="001E5DBF">
      <w:pPr>
        <w:jc w:val="both"/>
        <w:rPr>
          <w:rFonts w:ascii="Arial" w:hAnsi="Arial" w:cs="Arial"/>
          <w:sz w:val="22"/>
          <w:szCs w:val="22"/>
          <w:lang w:val="mn-MN"/>
        </w:rPr>
      </w:pPr>
    </w:p>
    <w:p w:rsidR="001E5DBF" w:rsidRPr="00BF5F30" w:rsidRDefault="001E5DBF" w:rsidP="001E5DBF">
      <w:pPr>
        <w:jc w:val="both"/>
        <w:rPr>
          <w:rFonts w:ascii="Arial" w:hAnsi="Arial" w:cs="Arial"/>
          <w:b/>
          <w:i/>
          <w:sz w:val="22"/>
          <w:szCs w:val="22"/>
          <w:lang w:val="mn-MN"/>
        </w:rPr>
      </w:pPr>
      <w:r w:rsidRPr="00BF5F30">
        <w:rPr>
          <w:rFonts w:ascii="Arial" w:hAnsi="Arial" w:cs="Arial"/>
          <w:b/>
          <w:i/>
          <w:sz w:val="22"/>
          <w:szCs w:val="22"/>
          <w:lang w:val="mn-MN"/>
        </w:rPr>
        <w:t>ДӨРӨВ. Хяналтын үйл ажиллагаа</w:t>
      </w:r>
    </w:p>
    <w:p w:rsidR="001E5DBF" w:rsidRPr="00BF5F30" w:rsidRDefault="001E5DBF" w:rsidP="001E5DBF">
      <w:pPr>
        <w:jc w:val="both"/>
        <w:rPr>
          <w:rFonts w:ascii="Arial" w:hAnsi="Arial" w:cs="Arial"/>
          <w:sz w:val="22"/>
          <w:szCs w:val="22"/>
          <w:lang w:val="mn-MN"/>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57"/>
        <w:gridCol w:w="1170"/>
        <w:gridCol w:w="3960"/>
        <w:gridCol w:w="2160"/>
      </w:tblGrid>
      <w:tr w:rsidR="001E5DBF" w:rsidRPr="00BF5F30" w:rsidTr="00A12609">
        <w:tc>
          <w:tcPr>
            <w:tcW w:w="483"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9</w:t>
            </w:r>
          </w:p>
        </w:tc>
        <w:tc>
          <w:tcPr>
            <w:tcW w:w="2757"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Ажилтнуудын ажлаа тайлагнах тогтолцоог сайжруулах, жилийн эцэст бүх ажилтнуудын хийсэн ажлыг дүгнэж хариуцлага тооцох </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Жилийн эцэст</w:t>
            </w:r>
          </w:p>
        </w:tc>
        <w:tc>
          <w:tcPr>
            <w:tcW w:w="39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2012 онд хийсэн ажлын тайланг компанийн хэмжээнд ажилтан нэг бүр гаргаж өөрийн харьяалагдах нэгжийн дарга, дэд захирал, захиралд тайлагнаж үнэлгээ авдаг. Тайлан хамгаалах удирдамжийг шинэчлэн гаргаж нэгжүүдэд хүргүүлсэн.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-Компанийн бүх нэгж, албан тушаалтан ажлаа тайлагнаж дүгнүүлсэн байх</w:t>
            </w:r>
          </w:p>
        </w:tc>
      </w:tr>
      <w:tr w:rsidR="001E5DBF" w:rsidRPr="00BF5F30" w:rsidTr="00A12609">
        <w:tc>
          <w:tcPr>
            <w:tcW w:w="483"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10</w:t>
            </w:r>
          </w:p>
        </w:tc>
        <w:tc>
          <w:tcPr>
            <w:tcW w:w="2757"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Шалгалтаар илэрсэн ноцтой зөрчлүүдийг хуулийн байгууллагад шилжүүлж шийдвэрлүүлэх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Тухай бүр</w:t>
            </w:r>
          </w:p>
        </w:tc>
        <w:tc>
          <w:tcPr>
            <w:tcW w:w="39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Компанийн хяналт шалгалтын хэлтэс болон удирдамж авсан шалгалтын комиссууд батлагд-сан төлөвлөгөөний дагуу шалгалт явуулсан. Шалгалтын дүнг тухай бүр захирлын зөвлөлийн хурлаар хэлэлцэж зөрчил гаргасан ажилтнуудад хариуцлага тооцож хэвшсэн.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Асуудлыг шийдвэрлэсэн байх, учирсан хохирлыг арилгасан байдал</w:t>
            </w:r>
          </w:p>
        </w:tc>
      </w:tr>
      <w:tr w:rsidR="001E5DBF" w:rsidRPr="00BF5F30" w:rsidTr="00A12609">
        <w:tc>
          <w:tcPr>
            <w:tcW w:w="483"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11</w:t>
            </w:r>
          </w:p>
        </w:tc>
        <w:tc>
          <w:tcPr>
            <w:tcW w:w="2757"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Сахилга хариуцлагыг дээшлүүлэх чиглэлээр тодорхой ажил зохиох</w:t>
            </w:r>
          </w:p>
        </w:tc>
        <w:tc>
          <w:tcPr>
            <w:tcW w:w="1170" w:type="dxa"/>
            <w:vAlign w:val="center"/>
          </w:tcPr>
          <w:p w:rsidR="001E5DBF" w:rsidRPr="00BF5F30" w:rsidRDefault="001E5DBF" w:rsidP="00A12609">
            <w:pPr>
              <w:jc w:val="center"/>
              <w:rPr>
                <w:rFonts w:ascii="Arial" w:hAnsi="Arial" w:cs="Arial"/>
                <w:lang w:val="mn-MN"/>
              </w:rPr>
            </w:pPr>
            <w:r w:rsidRPr="00BF5F30">
              <w:rPr>
                <w:rFonts w:ascii="Arial" w:hAnsi="Arial" w:cs="Arial"/>
                <w:sz w:val="22"/>
                <w:szCs w:val="22"/>
                <w:lang w:val="mn-MN"/>
              </w:rPr>
              <w:t>Жилийн турш</w:t>
            </w:r>
          </w:p>
        </w:tc>
        <w:tc>
          <w:tcPr>
            <w:tcW w:w="39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 xml:space="preserve">2012 онд 221 ажилтанд сахилгын шийтгэл хүлээлгэж, зөрчил гаргасан 26 ажилтныг ажлаас захиргааны санаачлагаар халсан. </w:t>
            </w:r>
          </w:p>
        </w:tc>
        <w:tc>
          <w:tcPr>
            <w:tcW w:w="2160" w:type="dxa"/>
            <w:vAlign w:val="center"/>
          </w:tcPr>
          <w:p w:rsidR="001E5DBF" w:rsidRPr="00BF5F30" w:rsidRDefault="001E5DBF" w:rsidP="00A12609">
            <w:pPr>
              <w:jc w:val="both"/>
              <w:rPr>
                <w:rFonts w:ascii="Arial" w:hAnsi="Arial" w:cs="Arial"/>
                <w:lang w:val="mn-MN"/>
              </w:rPr>
            </w:pPr>
            <w:r w:rsidRPr="00BF5F30">
              <w:rPr>
                <w:rFonts w:ascii="Arial" w:hAnsi="Arial" w:cs="Arial"/>
                <w:sz w:val="22"/>
                <w:szCs w:val="22"/>
                <w:lang w:val="mn-MN"/>
              </w:rPr>
              <w:t>Ажлын төлөвлөгөө гаргаж хэрэгжсэн байх</w:t>
            </w:r>
          </w:p>
        </w:tc>
      </w:tr>
    </w:tbl>
    <w:p w:rsidR="001E5DBF" w:rsidRPr="00BF5F30" w:rsidRDefault="001E5DBF" w:rsidP="001E5DBF">
      <w:pPr>
        <w:jc w:val="both"/>
        <w:rPr>
          <w:rFonts w:ascii="Arial" w:hAnsi="Arial" w:cs="Arial"/>
          <w:sz w:val="22"/>
          <w:szCs w:val="22"/>
          <w:lang w:val="mn-MN"/>
        </w:rPr>
      </w:pPr>
    </w:p>
    <w:p w:rsidR="000D3DF4" w:rsidRDefault="000D3DF4">
      <w:bookmarkStart w:id="0" w:name="_GoBack"/>
      <w:bookmarkEnd w:id="0"/>
    </w:p>
    <w:sectPr w:rsidR="000D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BF"/>
    <w:rsid w:val="000D3DF4"/>
    <w:rsid w:val="001E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41080-D037-4DD7-A42F-1CD4B1E2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 Orgil</dc:creator>
  <cp:keywords/>
  <dc:description/>
  <cp:lastModifiedBy>Enkh Orgil</cp:lastModifiedBy>
  <cp:revision>1</cp:revision>
  <dcterms:created xsi:type="dcterms:W3CDTF">2013-12-03T03:04:00Z</dcterms:created>
  <dcterms:modified xsi:type="dcterms:W3CDTF">2013-12-03T03:04:00Z</dcterms:modified>
</cp:coreProperties>
</file>